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für die Herstellung von 55.000 qm Oberflächenbehandlung im Ostalbkreis auf Kreisstraßen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für die Herstellung von 55,000 qm Oberflächenbehandlung im Ostalbkreis auf Kreisstraßen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